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3F" w:rsidRPr="00F1366B" w:rsidRDefault="00F1366B" w:rsidP="00F136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Using Becquerel’s method to harvest the energy of nuclear waste</w:t>
      </w:r>
    </w:p>
    <w:p w:rsidR="00F1366B" w:rsidRPr="00F1366B" w:rsidRDefault="00F1366B" w:rsidP="00F13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Aran David Stubbs</w:t>
      </w:r>
    </w:p>
    <w:p w:rsidR="00F1366B" w:rsidRPr="00F1366B" w:rsidRDefault="00F1366B">
      <w:pPr>
        <w:rPr>
          <w:rFonts w:ascii="Times New Roman" w:hAnsi="Times New Roman" w:cs="Times New Roman"/>
          <w:b/>
          <w:sz w:val="28"/>
          <w:szCs w:val="28"/>
        </w:rPr>
      </w:pPr>
      <w:r w:rsidRPr="00F1366B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F1366B" w:rsidRDefault="00F13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Becquerel discovered radioactivity it was via the effect on fluorescent materials.  This article describes applying that technique to harvest the energy of highly radioactive nuclear waste.</w:t>
      </w:r>
    </w:p>
    <w:p w:rsidR="00F1366B" w:rsidRPr="00F1366B" w:rsidRDefault="00F1366B">
      <w:pPr>
        <w:rPr>
          <w:rFonts w:ascii="Times New Roman" w:hAnsi="Times New Roman" w:cs="Times New Roman"/>
          <w:b/>
          <w:sz w:val="28"/>
          <w:szCs w:val="28"/>
        </w:rPr>
      </w:pPr>
      <w:r w:rsidRPr="00F1366B">
        <w:rPr>
          <w:rFonts w:ascii="Times New Roman" w:hAnsi="Times New Roman" w:cs="Times New Roman"/>
          <w:b/>
          <w:sz w:val="28"/>
          <w:szCs w:val="28"/>
        </w:rPr>
        <w:t>History</w:t>
      </w:r>
    </w:p>
    <w:p w:rsidR="00F1366B" w:rsidRDefault="00F13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1896 Becquerel</w:t>
      </w:r>
      <w:r w:rsidR="00B50A56" w:rsidRPr="00B50A5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discovered radioactivity by its effect on fluorescent materials.  The radioactive material emits radiation which is degraded by the fluorescent material into visible light.</w:t>
      </w:r>
      <w:r w:rsidR="00C47231">
        <w:rPr>
          <w:rFonts w:ascii="Times New Roman" w:hAnsi="Times New Roman" w:cs="Times New Roman"/>
          <w:sz w:val="28"/>
          <w:szCs w:val="28"/>
        </w:rPr>
        <w:t xml:space="preserve">  This in turn affected photographic plates.</w:t>
      </w:r>
    </w:p>
    <w:p w:rsidR="00C47231" w:rsidRPr="00C47231" w:rsidRDefault="00C47231">
      <w:pPr>
        <w:rPr>
          <w:rFonts w:ascii="Times New Roman" w:hAnsi="Times New Roman" w:cs="Times New Roman"/>
          <w:b/>
          <w:sz w:val="28"/>
          <w:szCs w:val="28"/>
        </w:rPr>
      </w:pPr>
      <w:r w:rsidRPr="00C47231">
        <w:rPr>
          <w:rFonts w:ascii="Times New Roman" w:hAnsi="Times New Roman" w:cs="Times New Roman"/>
          <w:b/>
          <w:sz w:val="28"/>
          <w:szCs w:val="28"/>
        </w:rPr>
        <w:t>Main Article</w:t>
      </w:r>
    </w:p>
    <w:p w:rsidR="00C47231" w:rsidRDefault="00C47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primary objection to the use of nuclear energy has been the waste products produced.  While trivial in amount</w:t>
      </w:r>
      <w:r w:rsidR="00DB451F" w:rsidRPr="00DB451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when compared to fossil fuel waste products, the highly toxic nature makes them unpopular.  Instead of treating them as waste, they can instead be viewed as a useful intermediary in secondary energy production.</w:t>
      </w:r>
    </w:p>
    <w:p w:rsidR="00C47231" w:rsidRDefault="004F7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Historically, a tiny fraction of this material has been used by SNAP</w:t>
      </w:r>
      <w:r w:rsidR="00DC0414" w:rsidRPr="00DC041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systems, where the material heats a thermocouple generating electricity.  </w:t>
      </w:r>
      <w:r w:rsidR="00C47231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more </w:t>
      </w:r>
      <w:r w:rsidR="00C47231">
        <w:rPr>
          <w:rFonts w:ascii="Times New Roman" w:hAnsi="Times New Roman" w:cs="Times New Roman"/>
          <w:sz w:val="28"/>
          <w:szCs w:val="28"/>
        </w:rPr>
        <w:t xml:space="preserve">useful technique for harvesting the latent energy of these materials involves transforming the radiation from dangerous gamma radiation to visible light via fluorescent </w:t>
      </w:r>
      <w:r w:rsidR="00B50A56">
        <w:rPr>
          <w:rFonts w:ascii="Times New Roman" w:hAnsi="Times New Roman" w:cs="Times New Roman"/>
          <w:sz w:val="28"/>
          <w:szCs w:val="28"/>
        </w:rPr>
        <w:t xml:space="preserve">materials. </w:t>
      </w:r>
    </w:p>
    <w:p w:rsidR="00C47231" w:rsidRDefault="00C47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Take a small amount of highly radioactive waste, place in the center of a </w:t>
      </w:r>
      <w:r w:rsidR="00B50A56">
        <w:rPr>
          <w:rFonts w:ascii="Times New Roman" w:hAnsi="Times New Roman" w:cs="Times New Roman"/>
          <w:sz w:val="28"/>
          <w:szCs w:val="28"/>
        </w:rPr>
        <w:t>containment vessel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50A56">
        <w:rPr>
          <w:rFonts w:ascii="Times New Roman" w:hAnsi="Times New Roman" w:cs="Times New Roman"/>
          <w:sz w:val="28"/>
          <w:szCs w:val="28"/>
        </w:rPr>
        <w:t xml:space="preserve">cube, </w:t>
      </w:r>
      <w:r>
        <w:rPr>
          <w:rFonts w:ascii="Times New Roman" w:hAnsi="Times New Roman" w:cs="Times New Roman"/>
          <w:sz w:val="28"/>
          <w:szCs w:val="28"/>
        </w:rPr>
        <w:t xml:space="preserve">sphere, tetrahedron, </w:t>
      </w:r>
      <w:r w:rsidR="000601DB">
        <w:rPr>
          <w:rFonts w:ascii="Times New Roman" w:hAnsi="Times New Roman" w:cs="Times New Roman"/>
          <w:sz w:val="28"/>
          <w:szCs w:val="28"/>
        </w:rPr>
        <w:t xml:space="preserve">or </w:t>
      </w:r>
      <w:r>
        <w:rPr>
          <w:rFonts w:ascii="Times New Roman" w:hAnsi="Times New Roman" w:cs="Times New Roman"/>
          <w:sz w:val="28"/>
          <w:szCs w:val="28"/>
        </w:rPr>
        <w:t>octahedron) whose inner surface is coated with solar cells, and between them filling the void place a fluorescent material.  Zinc salts are recommended</w:t>
      </w:r>
      <w:r w:rsidR="00B50A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since they are more stable in the presence of any stray neutrons the </w:t>
      </w:r>
      <w:r w:rsidR="004F7B08">
        <w:rPr>
          <w:rFonts w:ascii="Times New Roman" w:hAnsi="Times New Roman" w:cs="Times New Roman"/>
          <w:sz w:val="28"/>
          <w:szCs w:val="28"/>
        </w:rPr>
        <w:t xml:space="preserve">radioactive </w:t>
      </w:r>
      <w:r>
        <w:rPr>
          <w:rFonts w:ascii="Times New Roman" w:hAnsi="Times New Roman" w:cs="Times New Roman"/>
          <w:sz w:val="28"/>
          <w:szCs w:val="28"/>
        </w:rPr>
        <w:t xml:space="preserve">material may </w:t>
      </w:r>
      <w:r w:rsidR="00235575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mit than </w:t>
      </w:r>
      <w:r w:rsidR="00235575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eryllium salts. </w:t>
      </w:r>
      <w:r w:rsidR="000601DB">
        <w:rPr>
          <w:rFonts w:ascii="Times New Roman" w:hAnsi="Times New Roman" w:cs="Times New Roman"/>
          <w:sz w:val="28"/>
          <w:szCs w:val="28"/>
        </w:rPr>
        <w:t xml:space="preserve"> This structure is then placed within a </w:t>
      </w:r>
      <w:r w:rsidR="00DC0414">
        <w:rPr>
          <w:rFonts w:ascii="Times New Roman" w:hAnsi="Times New Roman" w:cs="Times New Roman"/>
          <w:sz w:val="28"/>
          <w:szCs w:val="28"/>
        </w:rPr>
        <w:t xml:space="preserve">lead </w:t>
      </w:r>
      <w:r w:rsidR="000601DB">
        <w:rPr>
          <w:rFonts w:ascii="Times New Roman" w:hAnsi="Times New Roman" w:cs="Times New Roman"/>
          <w:sz w:val="28"/>
          <w:szCs w:val="28"/>
        </w:rPr>
        <w:t>car battery</w:t>
      </w:r>
      <w:r w:rsidR="008F68BE" w:rsidRPr="008F68B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0601DB">
        <w:rPr>
          <w:rFonts w:ascii="Times New Roman" w:hAnsi="Times New Roman" w:cs="Times New Roman"/>
          <w:sz w:val="28"/>
          <w:szCs w:val="28"/>
        </w:rPr>
        <w:t>, acting to charge it.  The lead plates</w:t>
      </w:r>
      <w:r w:rsidR="00B50A56">
        <w:rPr>
          <w:rFonts w:ascii="Times New Roman" w:hAnsi="Times New Roman" w:cs="Times New Roman"/>
          <w:sz w:val="28"/>
          <w:szCs w:val="28"/>
        </w:rPr>
        <w:t xml:space="preserve"> of the battery</w:t>
      </w:r>
      <w:r w:rsidR="000601DB">
        <w:rPr>
          <w:rFonts w:ascii="Times New Roman" w:hAnsi="Times New Roman" w:cs="Times New Roman"/>
          <w:sz w:val="28"/>
          <w:szCs w:val="28"/>
        </w:rPr>
        <w:t xml:space="preserve"> also absorb any stray radiation that is not transformed by the central mechanism.</w:t>
      </w:r>
      <w:r w:rsidR="00235575">
        <w:rPr>
          <w:rFonts w:ascii="Times New Roman" w:hAnsi="Times New Roman" w:cs="Times New Roman"/>
          <w:sz w:val="28"/>
          <w:szCs w:val="28"/>
        </w:rPr>
        <w:t xml:space="preserve">  As it will be exposed to </w:t>
      </w:r>
      <w:proofErr w:type="gramStart"/>
      <w:r w:rsidR="00235575">
        <w:rPr>
          <w:rFonts w:ascii="Times New Roman" w:hAnsi="Times New Roman" w:cs="Times New Roman"/>
          <w:sz w:val="28"/>
          <w:szCs w:val="28"/>
        </w:rPr>
        <w:t>both radiation</w:t>
      </w:r>
      <w:proofErr w:type="gramEnd"/>
      <w:r w:rsidR="00235575">
        <w:rPr>
          <w:rFonts w:ascii="Times New Roman" w:hAnsi="Times New Roman" w:cs="Times New Roman"/>
          <w:sz w:val="28"/>
          <w:szCs w:val="28"/>
        </w:rPr>
        <w:t xml:space="preserve"> and battery acid, the containment vessel needs to be of particularly sturdy material.</w:t>
      </w:r>
      <w:r w:rsidR="00DC0414">
        <w:rPr>
          <w:rFonts w:ascii="Times New Roman" w:hAnsi="Times New Roman" w:cs="Times New Roman"/>
          <w:sz w:val="28"/>
          <w:szCs w:val="28"/>
        </w:rPr>
        <w:t xml:space="preserve">  It is also desirable the vessel remain intact after accidents or fire.</w:t>
      </w:r>
    </w:p>
    <w:p w:rsidR="000601DB" w:rsidRDefault="00060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power supply generates significant stray heat</w:t>
      </w:r>
      <w:r w:rsidR="00A375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so </w:t>
      </w:r>
      <w:r w:rsidR="00A37505">
        <w:rPr>
          <w:rFonts w:ascii="Times New Roman" w:hAnsi="Times New Roman" w:cs="Times New Roman"/>
          <w:sz w:val="28"/>
          <w:szCs w:val="28"/>
        </w:rPr>
        <w:t xml:space="preserve">that </w:t>
      </w:r>
      <w:r>
        <w:rPr>
          <w:rFonts w:ascii="Times New Roman" w:hAnsi="Times New Roman" w:cs="Times New Roman"/>
          <w:sz w:val="28"/>
          <w:szCs w:val="28"/>
        </w:rPr>
        <w:t xml:space="preserve">it should not be used in tropical settings, but is just the ticket for arctic </w:t>
      </w:r>
      <w:r w:rsidR="001112CC">
        <w:rPr>
          <w:rFonts w:ascii="Times New Roman" w:hAnsi="Times New Roman" w:cs="Times New Roman"/>
          <w:sz w:val="28"/>
          <w:szCs w:val="28"/>
        </w:rPr>
        <w:t>applications</w:t>
      </w:r>
      <w:r>
        <w:rPr>
          <w:rFonts w:ascii="Times New Roman" w:hAnsi="Times New Roman" w:cs="Times New Roman"/>
          <w:sz w:val="28"/>
          <w:szCs w:val="28"/>
        </w:rPr>
        <w:t xml:space="preserve"> where solar power is not readily available</w:t>
      </w:r>
      <w:r w:rsidR="00DB451F">
        <w:rPr>
          <w:rFonts w:ascii="Times New Roman" w:hAnsi="Times New Roman" w:cs="Times New Roman"/>
          <w:sz w:val="28"/>
          <w:szCs w:val="28"/>
        </w:rPr>
        <w:t xml:space="preserve"> (and stray heat is welcome)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B08" w:rsidRDefault="004F7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No statistics on </w:t>
      </w:r>
      <w:r w:rsidR="00DB451F">
        <w:rPr>
          <w:rFonts w:ascii="Times New Roman" w:hAnsi="Times New Roman" w:cs="Times New Roman"/>
          <w:sz w:val="28"/>
          <w:szCs w:val="28"/>
        </w:rPr>
        <w:t xml:space="preserve">the power production from </w:t>
      </w:r>
      <w:r w:rsidR="00B50A56">
        <w:rPr>
          <w:rFonts w:ascii="Times New Roman" w:hAnsi="Times New Roman" w:cs="Times New Roman"/>
          <w:sz w:val="28"/>
          <w:szCs w:val="28"/>
        </w:rPr>
        <w:t>this method are presently available, but the less efficient SNAP 8</w:t>
      </w:r>
      <w:r w:rsidR="00B50A56" w:rsidRPr="00B50A5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50A56">
        <w:rPr>
          <w:rFonts w:ascii="Times New Roman" w:hAnsi="Times New Roman" w:cs="Times New Roman"/>
          <w:sz w:val="28"/>
          <w:szCs w:val="28"/>
        </w:rPr>
        <w:t xml:space="preserve"> produced 1 megawatt with 18 pounds</w:t>
      </w:r>
      <w:r w:rsidR="00DB451F">
        <w:rPr>
          <w:rFonts w:ascii="Times New Roman" w:hAnsi="Times New Roman" w:cs="Times New Roman"/>
          <w:sz w:val="28"/>
          <w:szCs w:val="28"/>
        </w:rPr>
        <w:t xml:space="preserve"> (8.5 kg)</w:t>
      </w:r>
      <w:r w:rsidR="00B50A56">
        <w:rPr>
          <w:rFonts w:ascii="Times New Roman" w:hAnsi="Times New Roman" w:cs="Times New Roman"/>
          <w:sz w:val="28"/>
          <w:szCs w:val="28"/>
        </w:rPr>
        <w:t xml:space="preserve"> of fuel.  </w:t>
      </w:r>
      <w:r w:rsidR="008F68BE">
        <w:rPr>
          <w:rFonts w:ascii="Times New Roman" w:hAnsi="Times New Roman" w:cs="Times New Roman"/>
          <w:sz w:val="28"/>
          <w:szCs w:val="28"/>
        </w:rPr>
        <w:t xml:space="preserve">As car batteries are typically around 200 watt </w:t>
      </w:r>
      <w:r w:rsidR="00A37505">
        <w:rPr>
          <w:rFonts w:ascii="Times New Roman" w:hAnsi="Times New Roman" w:cs="Times New Roman"/>
          <w:sz w:val="28"/>
          <w:szCs w:val="28"/>
        </w:rPr>
        <w:t xml:space="preserve">ongoing </w:t>
      </w:r>
      <w:bookmarkStart w:id="0" w:name="_GoBack"/>
      <w:bookmarkEnd w:id="0"/>
      <w:r w:rsidR="008F68BE">
        <w:rPr>
          <w:rFonts w:ascii="Times New Roman" w:hAnsi="Times New Roman" w:cs="Times New Roman"/>
          <w:sz w:val="28"/>
          <w:szCs w:val="28"/>
        </w:rPr>
        <w:t>charg</w:t>
      </w:r>
      <w:r w:rsidR="008F68BE">
        <w:rPr>
          <w:rFonts w:ascii="Times New Roman" w:hAnsi="Times New Roman" w:cs="Times New Roman"/>
          <w:sz w:val="28"/>
          <w:szCs w:val="28"/>
        </w:rPr>
        <w:t>e</w:t>
      </w:r>
      <w:r w:rsidR="008F68BE">
        <w:rPr>
          <w:rFonts w:ascii="Times New Roman" w:hAnsi="Times New Roman" w:cs="Times New Roman"/>
          <w:sz w:val="28"/>
          <w:szCs w:val="28"/>
        </w:rPr>
        <w:t>/discharge</w:t>
      </w:r>
      <w:r w:rsidR="008F68BE">
        <w:rPr>
          <w:rFonts w:ascii="Times New Roman" w:hAnsi="Times New Roman" w:cs="Times New Roman"/>
          <w:sz w:val="28"/>
          <w:szCs w:val="28"/>
        </w:rPr>
        <w:t xml:space="preserve"> capacity, a</w:t>
      </w:r>
      <w:r w:rsidR="00B50A56">
        <w:rPr>
          <w:rFonts w:ascii="Times New Roman" w:hAnsi="Times New Roman" w:cs="Times New Roman"/>
          <w:sz w:val="28"/>
          <w:szCs w:val="28"/>
        </w:rPr>
        <w:t xml:space="preserve"> few grams should suffice to charge a car battery in </w:t>
      </w:r>
      <w:r w:rsidR="008F68BE">
        <w:rPr>
          <w:rFonts w:ascii="Times New Roman" w:hAnsi="Times New Roman" w:cs="Times New Roman"/>
          <w:sz w:val="28"/>
          <w:szCs w:val="28"/>
        </w:rPr>
        <w:t>2</w:t>
      </w:r>
      <w:r w:rsidR="00DB451F">
        <w:rPr>
          <w:rFonts w:ascii="Times New Roman" w:hAnsi="Times New Roman" w:cs="Times New Roman"/>
          <w:sz w:val="28"/>
          <w:szCs w:val="28"/>
        </w:rPr>
        <w:t xml:space="preserve"> </w:t>
      </w:r>
      <w:r w:rsidR="00B50A56">
        <w:rPr>
          <w:rFonts w:ascii="Times New Roman" w:hAnsi="Times New Roman" w:cs="Times New Roman"/>
          <w:sz w:val="28"/>
          <w:szCs w:val="28"/>
        </w:rPr>
        <w:t>hours with fresh fuel, or less than a day after several years of decay.</w:t>
      </w:r>
    </w:p>
    <w:p w:rsidR="00B50A56" w:rsidRDefault="00B50A56">
      <w:pPr>
        <w:rPr>
          <w:rFonts w:ascii="Times New Roman" w:hAnsi="Times New Roman" w:cs="Times New Roman"/>
          <w:sz w:val="28"/>
          <w:szCs w:val="28"/>
        </w:rPr>
      </w:pPr>
    </w:p>
    <w:p w:rsidR="00B50A56" w:rsidRPr="00B50A56" w:rsidRDefault="00B50A56">
      <w:pPr>
        <w:rPr>
          <w:rFonts w:ascii="Times New Roman" w:hAnsi="Times New Roman" w:cs="Times New Roman"/>
          <w:b/>
          <w:sz w:val="28"/>
          <w:szCs w:val="28"/>
        </w:rPr>
      </w:pPr>
      <w:r w:rsidRPr="00B50A56">
        <w:rPr>
          <w:rFonts w:ascii="Times New Roman" w:hAnsi="Times New Roman" w:cs="Times New Roman"/>
          <w:b/>
          <w:sz w:val="28"/>
          <w:szCs w:val="28"/>
        </w:rPr>
        <w:t>References</w:t>
      </w:r>
    </w:p>
    <w:p w:rsidR="00B50A56" w:rsidRDefault="00B50A56" w:rsidP="00B50A56">
      <w:pPr>
        <w:pStyle w:val="ListParagraph"/>
        <w:numPr>
          <w:ilvl w:val="0"/>
          <w:numId w:val="1"/>
        </w:numPr>
        <w:rPr>
          <w:rStyle w:val="citation"/>
          <w:rFonts w:ascii="Times New Roman" w:hAnsi="Times New Roman" w:cs="Times New Roman"/>
          <w:sz w:val="24"/>
          <w:szCs w:val="24"/>
        </w:rPr>
      </w:pPr>
      <w:proofErr w:type="spellStart"/>
      <w:r w:rsidRPr="00B50A56">
        <w:rPr>
          <w:rStyle w:val="citation"/>
          <w:rFonts w:ascii="Times New Roman" w:hAnsi="Times New Roman" w:cs="Times New Roman"/>
          <w:sz w:val="24"/>
          <w:szCs w:val="24"/>
        </w:rPr>
        <w:t>Aerojet</w:t>
      </w:r>
      <w:proofErr w:type="spellEnd"/>
      <w:r w:rsidRPr="00B50A56">
        <w:rPr>
          <w:rStyle w:val="citation"/>
          <w:rFonts w:ascii="Times New Roman" w:hAnsi="Times New Roman" w:cs="Times New Roman"/>
          <w:sz w:val="24"/>
          <w:szCs w:val="24"/>
        </w:rPr>
        <w:t xml:space="preserve"> General Corporation (November 1971). </w:t>
      </w:r>
      <w:r w:rsidRPr="00B50A56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SNAP-8 Electrical generating system development program</w:t>
      </w:r>
      <w:r w:rsidRPr="00B50A56">
        <w:rPr>
          <w:rStyle w:val="citation"/>
          <w:rFonts w:ascii="Times New Roman" w:hAnsi="Times New Roman" w:cs="Times New Roman"/>
          <w:sz w:val="24"/>
          <w:szCs w:val="24"/>
        </w:rPr>
        <w:t>. NASA Lewis Research Center, Cleveland, Ohio. NASA CR-1907.</w:t>
      </w:r>
    </w:p>
    <w:p w:rsidR="00B50A56" w:rsidRDefault="00B50A56" w:rsidP="00B50A56">
      <w:pPr>
        <w:pStyle w:val="ListParagraph"/>
        <w:numPr>
          <w:ilvl w:val="0"/>
          <w:numId w:val="1"/>
        </w:numPr>
        <w:rPr>
          <w:rStyle w:val="citation"/>
          <w:rFonts w:ascii="Times New Roman" w:hAnsi="Times New Roman" w:cs="Times New Roman"/>
          <w:sz w:val="24"/>
          <w:szCs w:val="24"/>
        </w:rPr>
      </w:pPr>
      <w:r w:rsidRPr="00B50A56">
        <w:rPr>
          <w:rStyle w:val="citation"/>
          <w:rFonts w:ascii="Times New Roman" w:hAnsi="Times New Roman" w:cs="Times New Roman"/>
          <w:sz w:val="24"/>
          <w:szCs w:val="24"/>
        </w:rPr>
        <w:t xml:space="preserve">Henri Becquerel (1896). </w:t>
      </w:r>
      <w:hyperlink r:id="rId6" w:history="1">
        <w:r w:rsidRPr="00B50A56">
          <w:rPr>
            <w:rStyle w:val="Hyperlink"/>
            <w:rFonts w:ascii="Times New Roman" w:hAnsi="Times New Roman" w:cs="Times New Roman"/>
            <w:sz w:val="24"/>
            <w:szCs w:val="24"/>
          </w:rPr>
          <w:t>"Sur les radiations émises par phosphorescence"</w:t>
        </w:r>
      </w:hyperlink>
      <w:r w:rsidRPr="00B50A56">
        <w:rPr>
          <w:rStyle w:val="citation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0A56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Comptes</w:t>
      </w:r>
      <w:proofErr w:type="spellEnd"/>
      <w:r w:rsidRPr="00B50A56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0A56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Rendus</w:t>
      </w:r>
      <w:proofErr w:type="spellEnd"/>
      <w:r w:rsidRPr="00B50A56">
        <w:rPr>
          <w:rStyle w:val="citation"/>
          <w:rFonts w:ascii="Times New Roman" w:hAnsi="Times New Roman" w:cs="Times New Roman"/>
          <w:sz w:val="24"/>
          <w:szCs w:val="24"/>
        </w:rPr>
        <w:t xml:space="preserve"> </w:t>
      </w:r>
      <w:r w:rsidRPr="00B50A56">
        <w:rPr>
          <w:rStyle w:val="citation"/>
          <w:rFonts w:ascii="Times New Roman" w:hAnsi="Times New Roman" w:cs="Times New Roman"/>
          <w:b/>
          <w:bCs/>
          <w:sz w:val="24"/>
          <w:szCs w:val="24"/>
        </w:rPr>
        <w:t>122</w:t>
      </w:r>
      <w:r w:rsidRPr="00B50A56">
        <w:rPr>
          <w:rStyle w:val="citation"/>
          <w:rFonts w:ascii="Times New Roman" w:hAnsi="Times New Roman" w:cs="Times New Roman"/>
          <w:sz w:val="24"/>
          <w:szCs w:val="24"/>
        </w:rPr>
        <w:t>: 420–421</w:t>
      </w:r>
      <w:r w:rsidRPr="00B50A56">
        <w:rPr>
          <w:rStyle w:val="printonly"/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Pr="00B50A56">
          <w:rPr>
            <w:rStyle w:val="Hyperlink"/>
            <w:rFonts w:ascii="Times New Roman" w:hAnsi="Times New Roman" w:cs="Times New Roman"/>
            <w:sz w:val="24"/>
            <w:szCs w:val="24"/>
          </w:rPr>
          <w:t>http://gallica.bnf.fr/ark:/12148/bpt6k30780/f422.chemindefer</w:t>
        </w:r>
      </w:hyperlink>
      <w:r w:rsidRPr="00B50A56">
        <w:rPr>
          <w:rStyle w:val="citation"/>
          <w:rFonts w:ascii="Times New Roman" w:hAnsi="Times New Roman" w:cs="Times New Roman"/>
          <w:sz w:val="24"/>
          <w:szCs w:val="24"/>
        </w:rPr>
        <w:t>.</w:t>
      </w:r>
    </w:p>
    <w:p w:rsidR="00DB451F" w:rsidRDefault="00DB451F" w:rsidP="00B50A56">
      <w:pPr>
        <w:pStyle w:val="ListParagraph"/>
        <w:numPr>
          <w:ilvl w:val="0"/>
          <w:numId w:val="1"/>
        </w:numPr>
        <w:rPr>
          <w:rStyle w:val="reference-accessdate"/>
          <w:rFonts w:ascii="Times New Roman" w:hAnsi="Times New Roman" w:cs="Times New Roman"/>
          <w:sz w:val="24"/>
          <w:szCs w:val="24"/>
        </w:rPr>
      </w:pPr>
      <w:hyperlink r:id="rId8" w:history="1">
        <w:r w:rsidRPr="00DB451F">
          <w:rPr>
            <w:rStyle w:val="Hyperlink"/>
            <w:rFonts w:ascii="Times New Roman" w:hAnsi="Times New Roman" w:cs="Times New Roman"/>
            <w:sz w:val="24"/>
            <w:szCs w:val="24"/>
          </w:rPr>
          <w:t>"Waste Form Release Calculations for the 2005 Integrated Disposal Facility Performance Assessment"</w:t>
        </w:r>
      </w:hyperlink>
      <w:r w:rsidRPr="00DB451F">
        <w:rPr>
          <w:rStyle w:val="citation"/>
          <w:rFonts w:ascii="Times New Roman" w:hAnsi="Times New Roman" w:cs="Times New Roman"/>
          <w:sz w:val="24"/>
          <w:szCs w:val="24"/>
        </w:rPr>
        <w:t xml:space="preserve"> (PDF). </w:t>
      </w:r>
      <w:r w:rsidRPr="00DB451F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PNNL-15198</w:t>
      </w:r>
      <w:r w:rsidRPr="00DB451F">
        <w:rPr>
          <w:rStyle w:val="citation"/>
          <w:rFonts w:ascii="Times New Roman" w:hAnsi="Times New Roman" w:cs="Times New Roman"/>
          <w:sz w:val="24"/>
          <w:szCs w:val="24"/>
        </w:rPr>
        <w:t>. Pacific Northwest National Laboratory. July 2005</w:t>
      </w:r>
      <w:r w:rsidRPr="00DB451F">
        <w:rPr>
          <w:rStyle w:val="printonly"/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Pr="00DB451F">
          <w:rPr>
            <w:rStyle w:val="Hyperlink"/>
            <w:rFonts w:ascii="Times New Roman" w:hAnsi="Times New Roman" w:cs="Times New Roman"/>
            <w:sz w:val="24"/>
            <w:szCs w:val="24"/>
          </w:rPr>
          <w:t>http://www.pnl.gov/main/publications/external/technical_reports/PNNL-15198.pdf</w:t>
        </w:r>
      </w:hyperlink>
      <w:r w:rsidRPr="00DB451F">
        <w:rPr>
          <w:rStyle w:val="reference-accessdate"/>
          <w:rFonts w:ascii="Times New Roman" w:hAnsi="Times New Roman" w:cs="Times New Roman"/>
          <w:sz w:val="24"/>
          <w:szCs w:val="24"/>
        </w:rPr>
        <w:t>.</w:t>
      </w:r>
    </w:p>
    <w:p w:rsidR="001112CC" w:rsidRPr="008F68BE" w:rsidRDefault="001112CC" w:rsidP="00B50A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68BE">
        <w:rPr>
          <w:rFonts w:ascii="Times New Roman" w:hAnsi="Times New Roman" w:cs="Times New Roman"/>
          <w:sz w:val="24"/>
          <w:szCs w:val="24"/>
        </w:rPr>
        <w:t>David Linden (</w:t>
      </w:r>
      <w:proofErr w:type="spellStart"/>
      <w:r w:rsidRPr="008F68BE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8F68BE">
        <w:rPr>
          <w:rFonts w:ascii="Times New Roman" w:hAnsi="Times New Roman" w:cs="Times New Roman"/>
          <w:sz w:val="24"/>
          <w:szCs w:val="24"/>
        </w:rPr>
        <w:t xml:space="preserve">), </w:t>
      </w:r>
      <w:r w:rsidRPr="008F68BE">
        <w:rPr>
          <w:rFonts w:ascii="Times New Roman" w:hAnsi="Times New Roman" w:cs="Times New Roman"/>
          <w:i/>
          <w:iCs/>
          <w:sz w:val="24"/>
          <w:szCs w:val="24"/>
        </w:rPr>
        <w:t>Handbook of Batteries Third Edition</w:t>
      </w:r>
      <w:r w:rsidRPr="008F68BE">
        <w:rPr>
          <w:rFonts w:ascii="Times New Roman" w:hAnsi="Times New Roman" w:cs="Times New Roman"/>
          <w:sz w:val="24"/>
          <w:szCs w:val="24"/>
        </w:rPr>
        <w:t>,</w:t>
      </w:r>
      <w:r w:rsidR="008F68BE">
        <w:rPr>
          <w:rFonts w:ascii="Times New Roman" w:hAnsi="Times New Roman" w:cs="Times New Roman"/>
          <w:sz w:val="24"/>
          <w:szCs w:val="24"/>
        </w:rPr>
        <w:t xml:space="preserve"> </w:t>
      </w:r>
      <w:r w:rsidRPr="008F68BE">
        <w:rPr>
          <w:rFonts w:ascii="Times New Roman" w:hAnsi="Times New Roman" w:cs="Times New Roman"/>
          <w:sz w:val="24"/>
          <w:szCs w:val="24"/>
        </w:rPr>
        <w:t xml:space="preserve">McGraw Hill, New York,2002 </w:t>
      </w:r>
      <w:hyperlink r:id="rId10" w:history="1">
        <w:r w:rsidRPr="008F68BE">
          <w:rPr>
            <w:rStyle w:val="Hyperlink"/>
            <w:rFonts w:ascii="Times New Roman" w:hAnsi="Times New Roman" w:cs="Times New Roman"/>
            <w:sz w:val="24"/>
            <w:szCs w:val="24"/>
          </w:rPr>
          <w:t>ISBN 0-07-135978-8</w:t>
        </w:r>
      </w:hyperlink>
      <w:r w:rsidRPr="008F68BE">
        <w:rPr>
          <w:rFonts w:ascii="Times New Roman" w:hAnsi="Times New Roman" w:cs="Times New Roman"/>
          <w:sz w:val="24"/>
          <w:szCs w:val="24"/>
        </w:rPr>
        <w:t>, chapter 23</w:t>
      </w:r>
    </w:p>
    <w:sectPr w:rsidR="001112CC" w:rsidRPr="008F68BE" w:rsidSect="00985178">
      <w:pgSz w:w="12240" w:h="15840"/>
      <w:pgMar w:top="1152" w:right="1008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1040D"/>
    <w:multiLevelType w:val="hybridMultilevel"/>
    <w:tmpl w:val="919A5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6B"/>
    <w:rsid w:val="000601DB"/>
    <w:rsid w:val="000E35B4"/>
    <w:rsid w:val="001112CC"/>
    <w:rsid w:val="00235575"/>
    <w:rsid w:val="00334C73"/>
    <w:rsid w:val="004F7B08"/>
    <w:rsid w:val="006435DE"/>
    <w:rsid w:val="008F68BE"/>
    <w:rsid w:val="00985178"/>
    <w:rsid w:val="00A37505"/>
    <w:rsid w:val="00B50A56"/>
    <w:rsid w:val="00C47231"/>
    <w:rsid w:val="00DB451F"/>
    <w:rsid w:val="00DC0414"/>
    <w:rsid w:val="00F1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A56"/>
    <w:pPr>
      <w:ind w:left="720"/>
      <w:contextualSpacing/>
    </w:pPr>
  </w:style>
  <w:style w:type="character" w:customStyle="1" w:styleId="citation">
    <w:name w:val="citation"/>
    <w:basedOn w:val="DefaultParagraphFont"/>
    <w:rsid w:val="00B50A56"/>
  </w:style>
  <w:style w:type="character" w:styleId="Hyperlink">
    <w:name w:val="Hyperlink"/>
    <w:basedOn w:val="DefaultParagraphFont"/>
    <w:uiPriority w:val="99"/>
    <w:semiHidden/>
    <w:unhideWhenUsed/>
    <w:rsid w:val="00B50A56"/>
    <w:rPr>
      <w:color w:val="0000FF"/>
      <w:u w:val="single"/>
    </w:rPr>
  </w:style>
  <w:style w:type="character" w:customStyle="1" w:styleId="printonly">
    <w:name w:val="printonly"/>
    <w:basedOn w:val="DefaultParagraphFont"/>
    <w:rsid w:val="00B50A56"/>
  </w:style>
  <w:style w:type="character" w:customStyle="1" w:styleId="reference-accessdate">
    <w:name w:val="reference-accessdate"/>
    <w:basedOn w:val="DefaultParagraphFont"/>
    <w:rsid w:val="00DB4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A56"/>
    <w:pPr>
      <w:ind w:left="720"/>
      <w:contextualSpacing/>
    </w:pPr>
  </w:style>
  <w:style w:type="character" w:customStyle="1" w:styleId="citation">
    <w:name w:val="citation"/>
    <w:basedOn w:val="DefaultParagraphFont"/>
    <w:rsid w:val="00B50A56"/>
  </w:style>
  <w:style w:type="character" w:styleId="Hyperlink">
    <w:name w:val="Hyperlink"/>
    <w:basedOn w:val="DefaultParagraphFont"/>
    <w:uiPriority w:val="99"/>
    <w:semiHidden/>
    <w:unhideWhenUsed/>
    <w:rsid w:val="00B50A56"/>
    <w:rPr>
      <w:color w:val="0000FF"/>
      <w:u w:val="single"/>
    </w:rPr>
  </w:style>
  <w:style w:type="character" w:customStyle="1" w:styleId="printonly">
    <w:name w:val="printonly"/>
    <w:basedOn w:val="DefaultParagraphFont"/>
    <w:rsid w:val="00B50A56"/>
  </w:style>
  <w:style w:type="character" w:customStyle="1" w:styleId="reference-accessdate">
    <w:name w:val="reference-accessdate"/>
    <w:basedOn w:val="DefaultParagraphFont"/>
    <w:rsid w:val="00DB4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l.gov/main/publications/external/technical_reports/PNNL-15198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allica.bnf.fr/ark:/12148/bpt6k30780/f422.chemindef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llica.bnf.fr/ark:/12148/bpt6k30780/f422.chemindefe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Special:BookSources/00713597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nl.gov/main/publications/external/technical_reports/PNNL-1519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 David Stubbs</dc:creator>
  <cp:keywords/>
  <dc:description/>
  <cp:lastModifiedBy>Aran David Stubbs</cp:lastModifiedBy>
  <cp:revision>2</cp:revision>
  <dcterms:created xsi:type="dcterms:W3CDTF">2011-01-22T16:30:00Z</dcterms:created>
  <dcterms:modified xsi:type="dcterms:W3CDTF">2011-01-22T22:06:00Z</dcterms:modified>
</cp:coreProperties>
</file>